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5866" w14:textId="150331BC" w:rsidR="001B042A" w:rsidRPr="00097B12" w:rsidRDefault="00C27414" w:rsidP="001B042A">
      <w:pPr>
        <w:rPr>
          <w:i/>
          <w:iCs/>
          <w:color w:val="4EA72E" w:themeColor="accent6"/>
          <w:sz w:val="18"/>
          <w:szCs w:val="18"/>
          <w:lang w:val="fr-CH"/>
        </w:rPr>
      </w:pPr>
      <w:r>
        <w:rPr>
          <w:rFonts w:ascii="Aptos" w:eastAsia="Aptos" w:hAnsi="Aptos" w:cs="Times New Roman"/>
          <w:i/>
          <w:iCs/>
          <w:color w:val="4EA72E"/>
          <w:sz w:val="18"/>
          <w:szCs w:val="18"/>
          <w:lang w:val="fr-FR"/>
        </w:rPr>
        <w:t>Lettre clients à transmettre à l’utilisateur final : Nouvelles prescriptions de l’OEne sur les chauffe-eau, à compter de 2025</w:t>
      </w:r>
      <w:r>
        <w:rPr>
          <w:rFonts w:ascii="Aptos" w:eastAsia="Aptos" w:hAnsi="Aptos" w:cs="Times New Roman"/>
          <w:i/>
          <w:iCs/>
          <w:color w:val="4EA72E"/>
          <w:sz w:val="18"/>
          <w:szCs w:val="18"/>
          <w:lang w:val="fr-FR"/>
        </w:rPr>
        <w:br/>
        <w:t xml:space="preserve">Ligne d’en-tête pour placer votre en-tête de lettre </w:t>
      </w:r>
      <w:r>
        <w:rPr>
          <w:rFonts w:ascii="Aptos" w:eastAsia="Aptos" w:hAnsi="Aptos" w:cs="Times New Roman"/>
          <w:i/>
          <w:iCs/>
          <w:color w:val="4EA72E"/>
          <w:sz w:val="18"/>
          <w:szCs w:val="18"/>
          <w:lang w:val="fr-FR"/>
        </w:rPr>
        <w:br/>
      </w:r>
    </w:p>
    <w:p w14:paraId="70F93164" w14:textId="3944485B" w:rsidR="00072C74" w:rsidRPr="00097B12" w:rsidRDefault="00C27414" w:rsidP="00E92646">
      <w:pPr>
        <w:spacing w:line="240" w:lineRule="auto"/>
        <w:ind w:left="5664"/>
        <w:rPr>
          <w:b/>
          <w:bCs/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t>Adresse ligne 1</w:t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br/>
        <w:t>Adresse ligne 2</w:t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br/>
        <w:t>Adresse ligne 3</w:t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br/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br/>
        <w:t>Date ligne 4</w:t>
      </w:r>
      <w:r>
        <w:rPr>
          <w:rFonts w:ascii="Aptos" w:eastAsia="Aptos" w:hAnsi="Aptos" w:cs="Times New Roman"/>
          <w:b/>
          <w:bCs/>
          <w:sz w:val="20"/>
          <w:szCs w:val="20"/>
          <w:lang w:val="fr-FR"/>
        </w:rPr>
        <w:tab/>
      </w:r>
      <w:r>
        <w:rPr>
          <w:rFonts w:ascii="Aptos" w:eastAsia="Aptos" w:hAnsi="Aptos" w:cs="Times New Roman"/>
          <w:b/>
          <w:bCs/>
          <w:sz w:val="20"/>
          <w:szCs w:val="20"/>
          <w:lang w:val="fr-FR"/>
        </w:rPr>
        <w:tab/>
      </w:r>
    </w:p>
    <w:p w14:paraId="4C36D104" w14:textId="47BD5510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  <w:t>Madame, Monsieur,</w:t>
      </w:r>
    </w:p>
    <w:p w14:paraId="2B195DCB" w14:textId="46843736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t>Le 1</w:t>
      </w:r>
      <w:r w:rsidRPr="00026B6C">
        <w:rPr>
          <w:rFonts w:ascii="Aptos" w:eastAsia="Aptos" w:hAnsi="Aptos" w:cs="Times New Roman"/>
          <w:sz w:val="18"/>
          <w:szCs w:val="18"/>
          <w:vertAlign w:val="superscript"/>
          <w:lang w:val="fr-FR"/>
        </w:rPr>
        <w:t xml:space="preserve">er </w:t>
      </w:r>
      <w:r>
        <w:rPr>
          <w:rFonts w:ascii="Aptos" w:eastAsia="Aptos" w:hAnsi="Aptos" w:cs="Times New Roman"/>
          <w:sz w:val="18"/>
          <w:szCs w:val="18"/>
          <w:lang w:val="fr-FR"/>
        </w:rPr>
        <w:t>janvier 2025 entreront en vigueur les nouvelles dispositions de l’Ordonnance sur l’énergie (OEne) qui règlent</w:t>
      </w:r>
      <w:r w:rsidR="00015DD7">
        <w:rPr>
          <w:rFonts w:ascii="Aptos" w:eastAsia="Aptos" w:hAnsi="Aptos" w:cs="Times New Roman"/>
          <w:sz w:val="18"/>
          <w:szCs w:val="18"/>
          <w:lang w:val="fr-FR"/>
        </w:rPr>
        <w:t xml:space="preserve"> notamment</w:t>
      </w:r>
      <w:r>
        <w:rPr>
          <w:rFonts w:ascii="Aptos" w:eastAsia="Aptos" w:hAnsi="Aptos" w:cs="Times New Roman"/>
          <w:sz w:val="18"/>
          <w:szCs w:val="18"/>
          <w:lang w:val="fr-FR"/>
        </w:rPr>
        <w:t xml:space="preserve"> l’installation centrale de certains chauffe-eau électriques. Ces prescriptions sont destinées à faire baisser la consommation d’énergie et à encourager le recours à des alternatives plus respectueuses de l’environnement. En termes concrets, cela concerne les chauffe-eau électriques, à installation centrale, d’une contenance de ≥150 et ≤500 litres, figurant dans une classe d’efficacité énergétique inférieure à B.</w:t>
      </w:r>
      <w:r w:rsidR="00097B12">
        <w:rPr>
          <w:rFonts w:ascii="Aptos" w:eastAsia="Aptos" w:hAnsi="Aptos" w:cs="Times New Roman"/>
          <w:sz w:val="18"/>
          <w:szCs w:val="18"/>
          <w:lang w:val="fr-FR"/>
        </w:rPr>
        <w:t xml:space="preserve"> </w:t>
      </w:r>
      <w:r>
        <w:rPr>
          <w:rFonts w:ascii="Aptos" w:eastAsia="Aptos" w:hAnsi="Aptos" w:cs="Times New Roman"/>
          <w:b/>
          <w:bCs/>
          <w:sz w:val="18"/>
          <w:szCs w:val="18"/>
          <w:u w:val="single"/>
          <w:lang w:val="fr-FR"/>
        </w:rPr>
        <w:t>À partir du 1</w:t>
      </w:r>
      <w:r w:rsidRPr="00026B6C">
        <w:rPr>
          <w:rFonts w:ascii="Aptos" w:eastAsia="Aptos" w:hAnsi="Aptos" w:cs="Times New Roman"/>
          <w:b/>
          <w:bCs/>
          <w:sz w:val="18"/>
          <w:szCs w:val="18"/>
          <w:u w:val="single"/>
          <w:vertAlign w:val="superscript"/>
          <w:lang w:val="fr-FR"/>
        </w:rPr>
        <w:t>er</w:t>
      </w:r>
      <w:r>
        <w:rPr>
          <w:rFonts w:ascii="Aptos" w:eastAsia="Aptos" w:hAnsi="Aptos" w:cs="Times New Roman"/>
          <w:b/>
          <w:bCs/>
          <w:sz w:val="18"/>
          <w:szCs w:val="18"/>
          <w:u w:val="single"/>
          <w:lang w:val="fr-FR"/>
        </w:rPr>
        <w:t xml:space="preserve"> janvier 202</w:t>
      </w:r>
      <w:r w:rsidR="0000368D">
        <w:rPr>
          <w:rFonts w:ascii="Aptos" w:eastAsia="Aptos" w:hAnsi="Aptos" w:cs="Times New Roman"/>
          <w:b/>
          <w:bCs/>
          <w:sz w:val="18"/>
          <w:szCs w:val="18"/>
          <w:u w:val="single"/>
          <w:lang w:val="fr-FR"/>
        </w:rPr>
        <w:t>5</w:t>
      </w:r>
      <w:r>
        <w:rPr>
          <w:rFonts w:ascii="Aptos" w:eastAsia="Aptos" w:hAnsi="Aptos" w:cs="Times New Roman"/>
          <w:b/>
          <w:bCs/>
          <w:sz w:val="18"/>
          <w:szCs w:val="18"/>
          <w:u w:val="single"/>
          <w:lang w:val="fr-FR"/>
        </w:rPr>
        <w:t>, il ne sera plus permis d’installer ce type d’appareils.</w:t>
      </w:r>
    </w:p>
    <w:p w14:paraId="072FF56A" w14:textId="3262C756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t>C’est pourquoi, en collaboration avec la société Domotec SA (Aarburg), spécialisée dans les chauffe-eau, nous vous proposons un large éventail de produits alternatifs qui respectent les nouvelles normes en la matière :</w:t>
      </w:r>
    </w:p>
    <w:p w14:paraId="55E68D9E" w14:textId="13198ACB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 xml:space="preserve">WF/WHL 050 E / 080 E / 100 E – Chauffe-eau électroniques muraux, permettant une installation verticale ou horizontale </w:t>
      </w:r>
      <w:r>
        <w:rPr>
          <w:rFonts w:ascii="Aptos" w:eastAsia="Aptos" w:hAnsi="Aptos" w:cs="Times New Roman"/>
          <w:sz w:val="18"/>
          <w:szCs w:val="18"/>
          <w:lang w:val="fr-FR"/>
        </w:rPr>
        <w:br/>
        <w:t xml:space="preserve">Nouvelle technologie à double cuve d’accumulation et conception </w:t>
      </w:r>
      <w:r w:rsidR="005B29B9">
        <w:rPr>
          <w:rFonts w:ascii="Aptos" w:eastAsia="Aptos" w:hAnsi="Aptos" w:cs="Times New Roman"/>
          <w:sz w:val="18"/>
          <w:szCs w:val="18"/>
          <w:lang w:val="fr-FR"/>
        </w:rPr>
        <w:t>ultraplate</w:t>
      </w:r>
      <w:r>
        <w:rPr>
          <w:rFonts w:ascii="Aptos" w:eastAsia="Aptos" w:hAnsi="Aptos" w:cs="Times New Roman"/>
          <w:sz w:val="18"/>
          <w:szCs w:val="18"/>
          <w:lang w:val="fr-FR"/>
        </w:rPr>
        <w:t xml:space="preserve"> (27 cm de profondeur). Puissance : 1,5 kW, souplesse d’installation (disposition verticale ou horizontale). Appareils permettant de remplacer les modèles : WF 070 / WF 100 / WF 120 / WF 150 / WHL 150 / WHL 200</w:t>
      </w:r>
    </w:p>
    <w:p w14:paraId="08D3C363" w14:textId="7C71B175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 xml:space="preserve">W 100 E / 120 E / 150 E – Chauffe-eau électronique mural de volume important et de grande puissance </w:t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t>Cuve d’accumulation généreuse (de 100 à 150 litres) et puissance de 2,7 kW présentant une remarquable efficacité énergétique.</w:t>
      </w:r>
      <w:r>
        <w:rPr>
          <w:rFonts w:ascii="Aptos" w:eastAsia="Aptos" w:hAnsi="Aptos" w:cs="Times New Roman"/>
          <w:color w:val="FF0000"/>
          <w:sz w:val="18"/>
          <w:szCs w:val="18"/>
          <w:lang w:val="fr-FR"/>
        </w:rPr>
        <w:t xml:space="preserve"> </w:t>
      </w:r>
      <w:r>
        <w:rPr>
          <w:rFonts w:ascii="Aptos" w:eastAsia="Aptos" w:hAnsi="Aptos" w:cs="Times New Roman"/>
          <w:sz w:val="18"/>
          <w:szCs w:val="18"/>
          <w:lang w:val="fr-FR"/>
        </w:rPr>
        <w:t>Appareil permettant de remplacer les modèles : W 150 / W 200 / S 200</w:t>
      </w:r>
      <w:r w:rsidR="00154E85">
        <w:rPr>
          <w:rFonts w:ascii="Aptos" w:eastAsia="Aptos" w:hAnsi="Aptos" w:cs="Times New Roman"/>
          <w:sz w:val="18"/>
          <w:szCs w:val="18"/>
          <w:lang w:val="fr-FR"/>
        </w:rPr>
        <w:t xml:space="preserve"> / S 300</w:t>
      </w:r>
    </w:p>
    <w:p w14:paraId="3EFB7067" w14:textId="739BB9E4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 xml:space="preserve">Hybrid W 100 – Chauffe-eau mural écologique </w:t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t>Il associe l’efficacité d’une pompe à chaleur et la puissance d’un chauffe-eau électrique moderne. Économies d’énergie pouvant atteindre 50 %.</w:t>
      </w:r>
      <w:r>
        <w:rPr>
          <w:rFonts w:ascii="Aptos" w:eastAsia="Aptos" w:hAnsi="Aptos" w:cs="Times New Roman"/>
          <w:color w:val="FF0000"/>
          <w:sz w:val="18"/>
          <w:szCs w:val="18"/>
          <w:lang w:val="fr-FR"/>
        </w:rPr>
        <w:t xml:space="preserve"> </w:t>
      </w:r>
      <w:r>
        <w:rPr>
          <w:rFonts w:ascii="Aptos" w:eastAsia="Aptos" w:hAnsi="Aptos" w:cs="Times New Roman"/>
          <w:sz w:val="18"/>
          <w:szCs w:val="18"/>
          <w:lang w:val="fr-FR"/>
        </w:rPr>
        <w:t>Appareil permettant de remplacer le modèle : W 150</w:t>
      </w:r>
    </w:p>
    <w:p w14:paraId="2C75368E" w14:textId="2EFD1FEA" w:rsidR="001B042A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 xml:space="preserve">Chauffe-eau pompes à chaleur écologiques NUOS 110, 150, 200, 250, 400 litres </w:t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t xml:space="preserve">Le système NUOS ne consomme qu’un quart du courant que consommerait un chauffe-eau électrique conventionnel. </w:t>
      </w:r>
      <w:r>
        <w:rPr>
          <w:rFonts w:ascii="Aptos" w:eastAsia="Aptos" w:hAnsi="Aptos" w:cs="Times New Roman"/>
          <w:sz w:val="18"/>
          <w:szCs w:val="18"/>
          <w:lang w:val="fr-FR"/>
        </w:rPr>
        <w:br/>
        <w:t>Les frais d’investissement initiaux, comparativement plus importants, sont amortis après une période d’environ 5 ans déjà.</w:t>
      </w:r>
      <w:r>
        <w:rPr>
          <w:rFonts w:ascii="Aptos" w:eastAsia="Aptos" w:hAnsi="Aptos" w:cs="Times New Roman"/>
          <w:color w:val="FF0000"/>
          <w:sz w:val="18"/>
          <w:szCs w:val="18"/>
          <w:lang w:val="fr-FR"/>
        </w:rPr>
        <w:t xml:space="preserve"> </w:t>
      </w:r>
      <w:r>
        <w:rPr>
          <w:rFonts w:ascii="Aptos" w:eastAsia="Aptos" w:hAnsi="Aptos" w:cs="Times New Roman"/>
          <w:sz w:val="18"/>
          <w:szCs w:val="18"/>
          <w:lang w:val="fr-FR"/>
        </w:rPr>
        <w:t>Appareils permettant de remplacer les modèles : W 150 / W 200 / S 200 / S 300 / S 400 / S 500</w:t>
      </w:r>
    </w:p>
    <w:p w14:paraId="6439584F" w14:textId="59BF6E92" w:rsidR="001B042A" w:rsidRPr="00097B12" w:rsidRDefault="00C27414" w:rsidP="001B042A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>NUOS Extra – Appareil monobloc autonome pour les biens immobiliers ayant des besoins importants en eau chaude sanitaire</w:t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t xml:space="preserve">La pompe à chaleur ultra-efficace, installée à l’extérieur du bâtiment, est associée à l’un de nos chauffe-eau spéciaux (SWD) d’une contenance de 300 à 2000 litres. Ce système permet de couvrir aisément les besoins importants en eau chaude, à savoir plus de 500 litres par jour, et ce, de façon efficace et respectueuse de l’environnement. Appareil permettant de remplacer le modèle : S 500 </w:t>
      </w:r>
    </w:p>
    <w:p w14:paraId="59D4939D" w14:textId="2B377506" w:rsidR="00823503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t>Nous sommes convaincus que tous les produits présentés contribuent non seulement à faire baisser la consommation d’énergie, mais également à réduire les frais d</w:t>
      </w:r>
      <w:r w:rsidR="005B29B9">
        <w:rPr>
          <w:rFonts w:ascii="Aptos" w:eastAsia="Aptos" w:hAnsi="Aptos" w:cs="Times New Roman"/>
          <w:sz w:val="18"/>
          <w:szCs w:val="18"/>
          <w:lang w:val="fr-FR"/>
        </w:rPr>
        <w:t>e fonctionnement</w:t>
      </w:r>
      <w:r>
        <w:rPr>
          <w:rFonts w:ascii="Aptos" w:eastAsia="Aptos" w:hAnsi="Aptos" w:cs="Times New Roman"/>
          <w:sz w:val="18"/>
          <w:szCs w:val="18"/>
          <w:lang w:val="fr-FR"/>
        </w:rPr>
        <w:t>.</w:t>
      </w:r>
    </w:p>
    <w:p w14:paraId="11CEB38D" w14:textId="214AF4DB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t>Pour de plus amples informations, ou pour répondre à vos questions, nous nous tenons volontiers à votre disposition.</w:t>
      </w:r>
    </w:p>
    <w:p w14:paraId="3F8D49BB" w14:textId="77777777" w:rsidR="00606FB6" w:rsidRDefault="00C27414" w:rsidP="00221546">
      <w:pPr>
        <w:rPr>
          <w:rFonts w:ascii="Aptos" w:eastAsia="Aptos" w:hAnsi="Aptos" w:cs="Times New Roman"/>
          <w:sz w:val="18"/>
          <w:szCs w:val="18"/>
          <w:lang w:val="fr-FR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br/>
        <w:t>Veuillez recevoir nos salutations les meilleures</w:t>
      </w:r>
      <w:r>
        <w:rPr>
          <w:rFonts w:ascii="Aptos" w:eastAsia="Aptos" w:hAnsi="Aptos" w:cs="Times New Roman"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br/>
      </w:r>
    </w:p>
    <w:p w14:paraId="37D88762" w14:textId="1C13F92A" w:rsidR="0075472F" w:rsidRPr="00606FB6" w:rsidRDefault="00C27414" w:rsidP="00221546">
      <w:pPr>
        <w:rPr>
          <w:rFonts w:ascii="Aptos" w:eastAsia="Aptos" w:hAnsi="Aptos" w:cs="Times New Roman"/>
          <w:color w:val="4EA72E"/>
          <w:sz w:val="18"/>
          <w:szCs w:val="18"/>
          <w:lang w:val="fr-FR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color w:val="4EA72E"/>
          <w:sz w:val="18"/>
          <w:szCs w:val="18"/>
          <w:lang w:val="fr-FR"/>
        </w:rPr>
        <w:t>Nom et signature</w:t>
      </w:r>
      <w:r>
        <w:rPr>
          <w:rFonts w:ascii="Aptos" w:eastAsia="Aptos" w:hAnsi="Aptos" w:cs="Times New Roman"/>
          <w:color w:val="4EA72E"/>
          <w:sz w:val="18"/>
          <w:szCs w:val="18"/>
          <w:lang w:val="fr-FR"/>
        </w:rPr>
        <w:br/>
        <w:t>Nom de la société</w:t>
      </w:r>
    </w:p>
    <w:sectPr w:rsidR="0075472F" w:rsidRPr="00606FB6" w:rsidSect="00860E68">
      <w:pgSz w:w="11906" w:h="16838"/>
      <w:pgMar w:top="1304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5"/>
    <w:rsid w:val="0000368D"/>
    <w:rsid w:val="00015DD7"/>
    <w:rsid w:val="00026B6C"/>
    <w:rsid w:val="00057F70"/>
    <w:rsid w:val="00063616"/>
    <w:rsid w:val="00072C74"/>
    <w:rsid w:val="000938C0"/>
    <w:rsid w:val="00097B12"/>
    <w:rsid w:val="000C3431"/>
    <w:rsid w:val="00154E85"/>
    <w:rsid w:val="00183442"/>
    <w:rsid w:val="00197C55"/>
    <w:rsid w:val="001B042A"/>
    <w:rsid w:val="001B3263"/>
    <w:rsid w:val="00221546"/>
    <w:rsid w:val="00235305"/>
    <w:rsid w:val="002474FD"/>
    <w:rsid w:val="002B31B4"/>
    <w:rsid w:val="00316738"/>
    <w:rsid w:val="003427D0"/>
    <w:rsid w:val="00354591"/>
    <w:rsid w:val="003C75FD"/>
    <w:rsid w:val="0043655B"/>
    <w:rsid w:val="00596208"/>
    <w:rsid w:val="005A71B8"/>
    <w:rsid w:val="005B29B9"/>
    <w:rsid w:val="005C6F3D"/>
    <w:rsid w:val="005E35D0"/>
    <w:rsid w:val="00603A06"/>
    <w:rsid w:val="00606FB6"/>
    <w:rsid w:val="006E5F6C"/>
    <w:rsid w:val="00751E90"/>
    <w:rsid w:val="0075472F"/>
    <w:rsid w:val="00823503"/>
    <w:rsid w:val="00860E68"/>
    <w:rsid w:val="008D4BD2"/>
    <w:rsid w:val="008F12A6"/>
    <w:rsid w:val="00915F91"/>
    <w:rsid w:val="00B21B66"/>
    <w:rsid w:val="00BC560B"/>
    <w:rsid w:val="00BF2FDC"/>
    <w:rsid w:val="00C27414"/>
    <w:rsid w:val="00C77967"/>
    <w:rsid w:val="00C8391C"/>
    <w:rsid w:val="00D66997"/>
    <w:rsid w:val="00DA7055"/>
    <w:rsid w:val="00E92646"/>
    <w:rsid w:val="00F47F0A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9BCAC"/>
  <w15:chartTrackingRefBased/>
  <w15:docId w15:val="{04DEE1FC-02F9-483A-943D-EA7C1E4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7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7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705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A705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7055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7055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7055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7055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7055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7055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7055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A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705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7055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A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7055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DA70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705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7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7055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A705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C7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C74"/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1B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1B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B66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B66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1B66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Ineichen</dc:creator>
  <cp:lastModifiedBy>Joel Ineichen</cp:lastModifiedBy>
  <cp:revision>5</cp:revision>
  <cp:lastPrinted>2024-07-23T12:23:00Z</cp:lastPrinted>
  <dcterms:created xsi:type="dcterms:W3CDTF">2024-07-25T22:21:00Z</dcterms:created>
  <dcterms:modified xsi:type="dcterms:W3CDTF">2024-11-26T12:39:00Z</dcterms:modified>
</cp:coreProperties>
</file>